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BFCC" w14:textId="056224CA" w:rsidR="0036632F" w:rsidRPr="00375813" w:rsidRDefault="009B0949" w:rsidP="00375813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 xml:space="preserve">Nove zgrade za malu općinu u Poljskoj: </w:t>
      </w:r>
      <w:r w:rsidR="00F974D2">
        <w:rPr>
          <w:rFonts w:ascii="Cambria" w:hAnsi="Cambria"/>
        </w:rPr>
        <w:t>EPS</w:t>
      </w:r>
      <w:r>
        <w:rPr>
          <w:rFonts w:ascii="Cambria" w:hAnsi="Cambria"/>
        </w:rPr>
        <w:t xml:space="preserve"> sa subvencijom EURO</w:t>
      </w:r>
    </w:p>
    <w:p w14:paraId="2F10C25D" w14:textId="174669B5" w:rsidR="008E1D2F" w:rsidRDefault="009B0949" w:rsidP="00173448">
      <w:pPr>
        <w:spacing w:before="24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Godine 2018. lokaln</w:t>
      </w:r>
      <w:r w:rsidR="005D726D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 vla</w:t>
      </w:r>
      <w:r w:rsidR="008F7609">
        <w:rPr>
          <w:rFonts w:ascii="Cambria" w:hAnsi="Cambria"/>
          <w:sz w:val="24"/>
        </w:rPr>
        <w:t>s</w:t>
      </w:r>
      <w:r w:rsidR="005D726D">
        <w:rPr>
          <w:rFonts w:ascii="Cambria" w:hAnsi="Cambria"/>
          <w:sz w:val="24"/>
        </w:rPr>
        <w:t>ti</w:t>
      </w:r>
      <w:r>
        <w:rPr>
          <w:rFonts w:ascii="Cambria" w:hAnsi="Cambria"/>
          <w:sz w:val="24"/>
        </w:rPr>
        <w:t xml:space="preserve"> </w:t>
      </w:r>
      <w:r w:rsidR="000C15FF">
        <w:rPr>
          <w:rFonts w:ascii="Cambria" w:hAnsi="Cambria"/>
          <w:sz w:val="24"/>
        </w:rPr>
        <w:t>općine</w:t>
      </w:r>
      <w:r>
        <w:rPr>
          <w:rFonts w:ascii="Cambria" w:hAnsi="Cambria"/>
          <w:sz w:val="24"/>
        </w:rPr>
        <w:t xml:space="preserve"> Parysów, u Poljskoj, </w:t>
      </w:r>
      <w:r w:rsidR="008F7609">
        <w:rPr>
          <w:rFonts w:ascii="Cambria" w:hAnsi="Cambria"/>
          <w:sz w:val="24"/>
        </w:rPr>
        <w:t>vršile su procjenu</w:t>
      </w:r>
      <w:r>
        <w:rPr>
          <w:rFonts w:ascii="Cambria" w:hAnsi="Cambria"/>
          <w:sz w:val="24"/>
        </w:rPr>
        <w:t xml:space="preserve"> projekt</w:t>
      </w:r>
      <w:r w:rsidR="008F7609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termo modernizacije</w:t>
      </w:r>
      <w:r w:rsidR="00E20228">
        <w:rPr>
          <w:rFonts w:ascii="Cambria" w:hAnsi="Cambria"/>
          <w:sz w:val="24"/>
        </w:rPr>
        <w:t xml:space="preserve"> triju javnih komunalnih zgrada –</w:t>
      </w:r>
      <w:r>
        <w:rPr>
          <w:rFonts w:ascii="Cambria" w:hAnsi="Cambria"/>
          <w:sz w:val="24"/>
        </w:rPr>
        <w:t xml:space="preserve"> (1) općinskog ureda, (2) javne knjižnice i (3) osnovne škole. Te su tr</w:t>
      </w:r>
      <w:r w:rsidR="00E20228">
        <w:rPr>
          <w:rFonts w:ascii="Cambria" w:hAnsi="Cambria"/>
          <w:sz w:val="24"/>
        </w:rPr>
        <w:t>i zgrade bile u ruševnom stanju</w:t>
      </w:r>
      <w:r>
        <w:rPr>
          <w:rFonts w:ascii="Cambria" w:hAnsi="Cambria"/>
          <w:sz w:val="24"/>
        </w:rPr>
        <w:t xml:space="preserve"> sa starim sustavom grijanja (kotao</w:t>
      </w:r>
      <w:r w:rsidR="00670963">
        <w:rPr>
          <w:rFonts w:ascii="Cambria" w:hAnsi="Cambria"/>
          <w:sz w:val="24"/>
        </w:rPr>
        <w:t xml:space="preserve"> na ugljen</w:t>
      </w:r>
      <w:r>
        <w:rPr>
          <w:rFonts w:ascii="Cambria" w:hAnsi="Cambria"/>
          <w:sz w:val="24"/>
        </w:rPr>
        <w:t xml:space="preserve"> i komore za izgaranje) te gotovo da nisu imale unutarnji strop. Glavni je cilj projekta bio smanjiti razinu potrošnje energije u javnim zgradama i sniziti troškove energije. Uz uštedu energije i smanjenje opasnih emisija projekt je stvorio dodatne prihode za općinu.</w:t>
      </w:r>
    </w:p>
    <w:p w14:paraId="30FD27AD" w14:textId="3FA43647" w:rsidR="009B0949" w:rsidRPr="008E4986" w:rsidRDefault="00FE1220" w:rsidP="008821C8">
      <w:pPr>
        <w:spacing w:before="240"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Općinske v</w:t>
      </w:r>
      <w:r w:rsidR="008E1D2F">
        <w:rPr>
          <w:rFonts w:ascii="Cambria" w:hAnsi="Cambria"/>
          <w:sz w:val="24"/>
        </w:rPr>
        <w:t>la</w:t>
      </w:r>
      <w:r w:rsidR="00E73614">
        <w:rPr>
          <w:rFonts w:ascii="Cambria" w:hAnsi="Cambria"/>
          <w:sz w:val="24"/>
        </w:rPr>
        <w:t>sti su</w:t>
      </w:r>
      <w:r w:rsidR="008E1D2F">
        <w:rPr>
          <w:rFonts w:ascii="Cambria" w:hAnsi="Cambria"/>
          <w:sz w:val="24"/>
        </w:rPr>
        <w:t xml:space="preserve"> za svaku pojedinu zgradu </w:t>
      </w:r>
      <w:r>
        <w:rPr>
          <w:rFonts w:ascii="Cambria" w:hAnsi="Cambria"/>
          <w:sz w:val="24"/>
        </w:rPr>
        <w:t>pr</w:t>
      </w:r>
      <w:r w:rsidR="008E1D2F">
        <w:rPr>
          <w:rFonts w:ascii="Cambria" w:hAnsi="Cambria"/>
          <w:sz w:val="24"/>
        </w:rPr>
        <w:t>ocijenil</w:t>
      </w:r>
      <w:r w:rsidR="00E73614">
        <w:rPr>
          <w:rFonts w:ascii="Cambria" w:hAnsi="Cambria"/>
          <w:sz w:val="24"/>
        </w:rPr>
        <w:t>e</w:t>
      </w:r>
      <w:r w:rsidR="00DA6E05">
        <w:rPr>
          <w:rFonts w:ascii="Cambria" w:hAnsi="Cambria"/>
          <w:sz w:val="24"/>
        </w:rPr>
        <w:t xml:space="preserve"> potrebu za</w:t>
      </w:r>
      <w:r w:rsidR="008E1D2F">
        <w:rPr>
          <w:rFonts w:ascii="Cambria" w:hAnsi="Cambria"/>
          <w:sz w:val="24"/>
        </w:rPr>
        <w:t xml:space="preserve"> sljede</w:t>
      </w:r>
      <w:r w:rsidR="00DA6E05">
        <w:rPr>
          <w:rFonts w:ascii="Cambria" w:hAnsi="Cambria"/>
          <w:sz w:val="24"/>
        </w:rPr>
        <w:t>ćim</w:t>
      </w:r>
      <w:r w:rsidR="008E1D2F">
        <w:rPr>
          <w:rFonts w:ascii="Cambria" w:hAnsi="Cambria"/>
          <w:sz w:val="24"/>
        </w:rPr>
        <w:t xml:space="preserve"> radov</w:t>
      </w:r>
      <w:r w:rsidR="00DA6E05">
        <w:rPr>
          <w:rFonts w:ascii="Cambria" w:hAnsi="Cambria"/>
          <w:sz w:val="24"/>
        </w:rPr>
        <w:t>ima</w:t>
      </w:r>
      <w:r w:rsidR="008E1D2F">
        <w:rPr>
          <w:rFonts w:ascii="Cambria" w:hAnsi="Cambria"/>
          <w:sz w:val="24"/>
        </w:rPr>
        <w:t xml:space="preserve"> izgradnje, obnove i ugradnje:</w:t>
      </w:r>
    </w:p>
    <w:p w14:paraId="7AE7F308" w14:textId="77777777" w:rsidR="009B0949" w:rsidRPr="00375813" w:rsidRDefault="00857ABD" w:rsidP="008821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Izolacija vanjskih zidova i stropa stiroporom</w:t>
      </w:r>
    </w:p>
    <w:p w14:paraId="2F637C48" w14:textId="77777777" w:rsidR="009B0949" w:rsidRPr="00375813" w:rsidRDefault="00857ABD" w:rsidP="008821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Izolacija krova mineralnom vunom</w:t>
      </w:r>
    </w:p>
    <w:p w14:paraId="16A3B219" w14:textId="77777777" w:rsidR="009B0949" w:rsidRPr="00375813" w:rsidRDefault="0079234E" w:rsidP="008821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Zamjena drvenih i čeličnih vanjskih vrata</w:t>
      </w:r>
    </w:p>
    <w:p w14:paraId="20F417B1" w14:textId="77777777" w:rsidR="009B0949" w:rsidRPr="00375813" w:rsidRDefault="009B0949" w:rsidP="008821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Ugradnja novog izvora topline i instalacije za grijanje</w:t>
      </w:r>
    </w:p>
    <w:p w14:paraId="4F3D9407" w14:textId="77777777" w:rsidR="009B0949" w:rsidRPr="00375813" w:rsidRDefault="0079234E" w:rsidP="008821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Zamjena žarulja</w:t>
      </w:r>
    </w:p>
    <w:p w14:paraId="0864A943" w14:textId="0AFE2E79" w:rsidR="009B0949" w:rsidRDefault="0079234E" w:rsidP="008821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Ugradnja solarnih panela</w:t>
      </w:r>
      <w:r w:rsidR="00E20228">
        <w:rPr>
          <w:rFonts w:ascii="Cambria" w:hAnsi="Cambria"/>
          <w:sz w:val="24"/>
        </w:rPr>
        <w:t>.</w:t>
      </w:r>
    </w:p>
    <w:p w14:paraId="18BE2537" w14:textId="6C465AF9" w:rsidR="00290FA1" w:rsidRPr="00E20228" w:rsidRDefault="00365872" w:rsidP="008E1D2F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sz w:val="24"/>
          <w:szCs w:val="24"/>
        </w:rPr>
      </w:pPr>
      <w:r w:rsidRPr="00E20228">
        <w:rPr>
          <w:rFonts w:ascii="Cambria" w:hAnsi="Cambria"/>
          <w:sz w:val="24"/>
          <w:szCs w:val="24"/>
        </w:rPr>
        <w:t xml:space="preserve">Općina je procijenila da su troškovi obnove javne knjižnice 113.100,23 </w:t>
      </w:r>
      <w:r w:rsidR="00976E56">
        <w:rPr>
          <w:rFonts w:ascii="Cambria" w:hAnsi="Cambria"/>
          <w:sz w:val="24"/>
          <w:szCs w:val="24"/>
        </w:rPr>
        <w:t>EUR</w:t>
      </w:r>
      <w:r w:rsidRPr="00E20228">
        <w:rPr>
          <w:rFonts w:ascii="Cambria" w:hAnsi="Cambria"/>
          <w:sz w:val="24"/>
          <w:szCs w:val="24"/>
        </w:rPr>
        <w:t xml:space="preserve">, općinskog ureda 122.058,69 </w:t>
      </w:r>
      <w:r w:rsidR="00976E56">
        <w:rPr>
          <w:rFonts w:ascii="Cambria" w:hAnsi="Cambria"/>
          <w:sz w:val="24"/>
          <w:szCs w:val="24"/>
        </w:rPr>
        <w:t>EUR</w:t>
      </w:r>
      <w:r w:rsidRPr="00E20228">
        <w:rPr>
          <w:rFonts w:ascii="Cambria" w:hAnsi="Cambria"/>
          <w:sz w:val="24"/>
          <w:szCs w:val="24"/>
        </w:rPr>
        <w:t xml:space="preserve"> i osnovne škole 317.800,70 </w:t>
      </w:r>
      <w:r w:rsidR="00976E56">
        <w:rPr>
          <w:rFonts w:ascii="Cambria" w:hAnsi="Cambria"/>
          <w:sz w:val="24"/>
          <w:szCs w:val="24"/>
        </w:rPr>
        <w:t>EUR</w:t>
      </w:r>
      <w:r w:rsidRPr="00E20228">
        <w:rPr>
          <w:rFonts w:ascii="Cambria" w:hAnsi="Cambria"/>
          <w:sz w:val="24"/>
          <w:szCs w:val="24"/>
        </w:rPr>
        <w:t>.</w:t>
      </w:r>
      <w:r w:rsidRPr="00E20228">
        <w:rPr>
          <w:rFonts w:ascii="Cambria" w:hAnsi="Cambria"/>
          <w:b/>
          <w:sz w:val="24"/>
          <w:szCs w:val="24"/>
        </w:rPr>
        <w:t xml:space="preserve"> </w:t>
      </w:r>
      <w:r w:rsidRPr="00E20228">
        <w:rPr>
          <w:rFonts w:ascii="Cambria" w:hAnsi="Cambria"/>
          <w:sz w:val="24"/>
          <w:szCs w:val="24"/>
        </w:rPr>
        <w:t xml:space="preserve">Uz te troškove općina predviđa da će projektna dokumentacija i usluge u vezi s provedbom projekta iznositi 6.785,21 </w:t>
      </w:r>
      <w:r w:rsidR="00590112">
        <w:rPr>
          <w:rFonts w:ascii="Cambria" w:hAnsi="Cambria"/>
          <w:sz w:val="24"/>
          <w:szCs w:val="24"/>
        </w:rPr>
        <w:t>EUR</w:t>
      </w:r>
      <w:r w:rsidRPr="00E20228">
        <w:rPr>
          <w:rFonts w:ascii="Cambria" w:hAnsi="Cambria"/>
          <w:sz w:val="24"/>
          <w:szCs w:val="24"/>
        </w:rPr>
        <w:t xml:space="preserve"> 2018. i 866,20 </w:t>
      </w:r>
      <w:r w:rsidR="00590112">
        <w:rPr>
          <w:rFonts w:ascii="Cambria" w:hAnsi="Cambria"/>
          <w:sz w:val="24"/>
          <w:szCs w:val="24"/>
        </w:rPr>
        <w:t>EUR</w:t>
      </w:r>
      <w:r w:rsidRPr="00E20228">
        <w:rPr>
          <w:rFonts w:ascii="Cambria" w:hAnsi="Cambria"/>
          <w:sz w:val="24"/>
          <w:szCs w:val="24"/>
        </w:rPr>
        <w:t xml:space="preserve"> 2019. godine (vidi </w:t>
      </w:r>
      <w:r w:rsidR="00A363DE">
        <w:rPr>
          <w:rFonts w:ascii="Cambria" w:hAnsi="Cambria"/>
          <w:b/>
          <w:bCs/>
          <w:sz w:val="24"/>
          <w:szCs w:val="24"/>
        </w:rPr>
        <w:t>T</w:t>
      </w:r>
      <w:r w:rsidRPr="00E20228">
        <w:rPr>
          <w:rFonts w:ascii="Cambria" w:hAnsi="Cambria"/>
          <w:b/>
          <w:bCs/>
          <w:sz w:val="24"/>
          <w:szCs w:val="24"/>
        </w:rPr>
        <w:t>ablicu 1</w:t>
      </w:r>
      <w:r w:rsidRPr="00E20228">
        <w:rPr>
          <w:rFonts w:ascii="Cambria" w:hAnsi="Cambria"/>
          <w:sz w:val="24"/>
          <w:szCs w:val="24"/>
        </w:rPr>
        <w:t>).</w:t>
      </w:r>
    </w:p>
    <w:p w14:paraId="51A67975" w14:textId="77777777" w:rsidR="008E1D2F" w:rsidRPr="008E1D2F" w:rsidRDefault="00365872" w:rsidP="008E1D2F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/>
          <w:b/>
          <w:sz w:val="24"/>
        </w:rPr>
        <w:t>Tablica 1. Troškovi provedbe projekta</w:t>
      </w:r>
    </w:p>
    <w:tbl>
      <w:tblPr>
        <w:tblStyle w:val="GridTable21"/>
        <w:tblW w:w="0" w:type="auto"/>
        <w:jc w:val="center"/>
        <w:tblLook w:val="04A0" w:firstRow="1" w:lastRow="0" w:firstColumn="1" w:lastColumn="0" w:noHBand="0" w:noVBand="1"/>
      </w:tblPr>
      <w:tblGrid>
        <w:gridCol w:w="3931"/>
        <w:gridCol w:w="1038"/>
        <w:gridCol w:w="1281"/>
        <w:gridCol w:w="1361"/>
      </w:tblGrid>
      <w:tr w:rsidR="007A71AF" w:rsidRPr="007A71AF" w14:paraId="17DB439A" w14:textId="77777777" w:rsidTr="007A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8E6C78" w14:textId="77777777" w:rsidR="007A71AF" w:rsidRPr="007A71AF" w:rsidRDefault="007A71AF" w:rsidP="007A71AF">
            <w:pPr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hAnsi="Cambria"/>
                <w:szCs w:val="24"/>
              </w:rPr>
              <w:t>(u eurima)</w:t>
            </w:r>
          </w:p>
        </w:tc>
        <w:tc>
          <w:tcPr>
            <w:tcW w:w="0" w:type="auto"/>
            <w:hideMark/>
          </w:tcPr>
          <w:p w14:paraId="44E4382C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2018.</w:t>
            </w:r>
          </w:p>
        </w:tc>
        <w:tc>
          <w:tcPr>
            <w:tcW w:w="0" w:type="auto"/>
            <w:hideMark/>
          </w:tcPr>
          <w:p w14:paraId="024BBE24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2019.</w:t>
            </w:r>
          </w:p>
        </w:tc>
        <w:tc>
          <w:tcPr>
            <w:tcW w:w="0" w:type="auto"/>
            <w:hideMark/>
          </w:tcPr>
          <w:p w14:paraId="2ECA0980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UKUPNO</w:t>
            </w:r>
          </w:p>
        </w:tc>
      </w:tr>
      <w:tr w:rsidR="007A71AF" w:rsidRPr="007A71AF" w14:paraId="5744BEFE" w14:textId="77777777" w:rsidTr="007A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BD3C18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Projektna dokumentacija</w:t>
            </w:r>
          </w:p>
        </w:tc>
        <w:tc>
          <w:tcPr>
            <w:tcW w:w="0" w:type="auto"/>
            <w:hideMark/>
          </w:tcPr>
          <w:p w14:paraId="63B733B1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3.897,89</w:t>
            </w:r>
          </w:p>
        </w:tc>
        <w:tc>
          <w:tcPr>
            <w:tcW w:w="0" w:type="auto"/>
            <w:hideMark/>
          </w:tcPr>
          <w:p w14:paraId="0646F861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14:paraId="6BB34401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3.897,89</w:t>
            </w:r>
          </w:p>
        </w:tc>
      </w:tr>
      <w:tr w:rsidR="007A71AF" w:rsidRPr="007A71AF" w14:paraId="0BCB730C" w14:textId="77777777" w:rsidTr="007A71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5FEE05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Javna knjižnica</w:t>
            </w:r>
          </w:p>
        </w:tc>
        <w:tc>
          <w:tcPr>
            <w:tcW w:w="0" w:type="auto"/>
            <w:hideMark/>
          </w:tcPr>
          <w:p w14:paraId="123ADDD5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14:paraId="775CE7B4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113.100,23</w:t>
            </w:r>
          </w:p>
        </w:tc>
        <w:tc>
          <w:tcPr>
            <w:tcW w:w="0" w:type="auto"/>
            <w:hideMark/>
          </w:tcPr>
          <w:p w14:paraId="4231CE7D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113.100,23</w:t>
            </w:r>
          </w:p>
        </w:tc>
      </w:tr>
      <w:tr w:rsidR="007A71AF" w:rsidRPr="007A71AF" w14:paraId="3A7C6D86" w14:textId="77777777" w:rsidTr="007A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093A7A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Općinski ured</w:t>
            </w:r>
          </w:p>
        </w:tc>
        <w:tc>
          <w:tcPr>
            <w:tcW w:w="0" w:type="auto"/>
            <w:hideMark/>
          </w:tcPr>
          <w:p w14:paraId="581506C0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14:paraId="39B0E8F0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122.058,69</w:t>
            </w:r>
          </w:p>
        </w:tc>
        <w:tc>
          <w:tcPr>
            <w:tcW w:w="0" w:type="auto"/>
            <w:hideMark/>
          </w:tcPr>
          <w:p w14:paraId="52E51C53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122.058,69</w:t>
            </w:r>
          </w:p>
        </w:tc>
      </w:tr>
      <w:tr w:rsidR="007A71AF" w:rsidRPr="007A71AF" w14:paraId="24BF1099" w14:textId="77777777" w:rsidTr="007A71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82918F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 xml:space="preserve">Osnovna škola </w:t>
            </w:r>
          </w:p>
        </w:tc>
        <w:tc>
          <w:tcPr>
            <w:tcW w:w="0" w:type="auto"/>
            <w:hideMark/>
          </w:tcPr>
          <w:p w14:paraId="7616F9A8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14:paraId="6A7492A5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317.800,70</w:t>
            </w:r>
          </w:p>
        </w:tc>
        <w:tc>
          <w:tcPr>
            <w:tcW w:w="0" w:type="auto"/>
            <w:hideMark/>
          </w:tcPr>
          <w:p w14:paraId="152AC472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317.800,70</w:t>
            </w:r>
          </w:p>
        </w:tc>
      </w:tr>
      <w:tr w:rsidR="007A71AF" w:rsidRPr="007A71AF" w14:paraId="4BEA407A" w14:textId="77777777" w:rsidTr="007A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C867D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Nadzor ulagača</w:t>
            </w:r>
          </w:p>
        </w:tc>
        <w:tc>
          <w:tcPr>
            <w:tcW w:w="0" w:type="auto"/>
            <w:hideMark/>
          </w:tcPr>
          <w:p w14:paraId="1CF03923" w14:textId="77777777" w:rsidR="007A71AF" w:rsidRPr="007A71AF" w:rsidRDefault="00B773AB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2.021,12</w:t>
            </w:r>
          </w:p>
        </w:tc>
        <w:tc>
          <w:tcPr>
            <w:tcW w:w="0" w:type="auto"/>
            <w:hideMark/>
          </w:tcPr>
          <w:p w14:paraId="46CCB161" w14:textId="77777777" w:rsidR="007A71AF" w:rsidRPr="007A71AF" w:rsidRDefault="00B773AB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2.309,87</w:t>
            </w:r>
          </w:p>
        </w:tc>
        <w:tc>
          <w:tcPr>
            <w:tcW w:w="0" w:type="auto"/>
            <w:hideMark/>
          </w:tcPr>
          <w:p w14:paraId="35BDC2E3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4.330,99</w:t>
            </w:r>
          </w:p>
        </w:tc>
      </w:tr>
      <w:tr w:rsidR="007A71AF" w:rsidRPr="007A71AF" w14:paraId="106C4ADC" w14:textId="77777777" w:rsidTr="007A71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B86321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Marketinške i promotivne aktivnosti</w:t>
            </w:r>
          </w:p>
        </w:tc>
        <w:tc>
          <w:tcPr>
            <w:tcW w:w="0" w:type="auto"/>
            <w:hideMark/>
          </w:tcPr>
          <w:p w14:paraId="60BFEEE2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866,20</w:t>
            </w:r>
          </w:p>
        </w:tc>
        <w:tc>
          <w:tcPr>
            <w:tcW w:w="0" w:type="auto"/>
            <w:hideMark/>
          </w:tcPr>
          <w:p w14:paraId="3E3C44B8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866,20</w:t>
            </w:r>
          </w:p>
        </w:tc>
        <w:tc>
          <w:tcPr>
            <w:tcW w:w="0" w:type="auto"/>
            <w:hideMark/>
          </w:tcPr>
          <w:p w14:paraId="292520E9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1.732,39</w:t>
            </w:r>
          </w:p>
        </w:tc>
      </w:tr>
      <w:tr w:rsidR="007A71AF" w:rsidRPr="007A71AF" w14:paraId="3B2AA9CD" w14:textId="77777777" w:rsidTr="007A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80A6F3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UKUPNO</w:t>
            </w:r>
          </w:p>
        </w:tc>
        <w:tc>
          <w:tcPr>
            <w:tcW w:w="0" w:type="auto"/>
            <w:hideMark/>
          </w:tcPr>
          <w:p w14:paraId="539187A0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6.785,21</w:t>
            </w:r>
          </w:p>
        </w:tc>
        <w:tc>
          <w:tcPr>
            <w:tcW w:w="0" w:type="auto"/>
            <w:hideMark/>
          </w:tcPr>
          <w:p w14:paraId="110CECAE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Cs w:val="16"/>
              </w:rPr>
            </w:pPr>
            <w:r>
              <w:rPr>
                <w:rFonts w:ascii="Cambria" w:hAnsi="Cambria"/>
                <w:color w:val="000000"/>
                <w:szCs w:val="16"/>
              </w:rPr>
              <w:t>556.135,68</w:t>
            </w:r>
          </w:p>
        </w:tc>
        <w:tc>
          <w:tcPr>
            <w:tcW w:w="0" w:type="auto"/>
            <w:hideMark/>
          </w:tcPr>
          <w:p w14:paraId="37E083BD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color w:val="000000"/>
                <w:szCs w:val="16"/>
              </w:rPr>
            </w:pPr>
            <w:r>
              <w:rPr>
                <w:rFonts w:ascii="Cambria" w:hAnsi="Cambria"/>
                <w:b/>
                <w:color w:val="000000"/>
                <w:szCs w:val="16"/>
              </w:rPr>
              <w:t>562.920,89</w:t>
            </w:r>
          </w:p>
        </w:tc>
      </w:tr>
    </w:tbl>
    <w:p w14:paraId="6EC0E387" w14:textId="77777777" w:rsidR="008E1D2F" w:rsidRPr="008E1D2F" w:rsidRDefault="008E1D2F" w:rsidP="008E1D2F">
      <w:pPr>
        <w:spacing w:line="360" w:lineRule="auto"/>
        <w:ind w:left="360"/>
        <w:jc w:val="both"/>
        <w:rPr>
          <w:rFonts w:ascii="Cambria" w:hAnsi="Cambria" w:cs="Arial"/>
          <w:sz w:val="24"/>
        </w:rPr>
      </w:pPr>
    </w:p>
    <w:p w14:paraId="78E5ABE0" w14:textId="45B67852" w:rsidR="00A944EC" w:rsidRPr="00A944EC" w:rsidRDefault="008821C8" w:rsidP="00173448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 xml:space="preserve">Općina predviđa da će tri zgrade biti u funkciji 2020. godine. Također se procjenjuje da bi s provedbom novog projekta smanjenje troškova energije i rada iznosilo 25.998,59 </w:t>
      </w:r>
      <w:r w:rsidR="00590112">
        <w:rPr>
          <w:rFonts w:ascii="Cambria" w:hAnsi="Cambria"/>
          <w:sz w:val="24"/>
        </w:rPr>
        <w:t>EUR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lastRenderedPageBreak/>
        <w:t xml:space="preserve">godišnje. Usto, projekt bi </w:t>
      </w:r>
      <w:r w:rsidR="00E20228">
        <w:rPr>
          <w:rFonts w:ascii="Cambria" w:hAnsi="Cambria"/>
          <w:sz w:val="24"/>
        </w:rPr>
        <w:t>također donio koristi za okoliš –</w:t>
      </w:r>
      <w:r>
        <w:rPr>
          <w:rFonts w:ascii="Cambria" w:hAnsi="Cambria"/>
          <w:sz w:val="24"/>
        </w:rPr>
        <w:t xml:space="preserve"> prosječno smanjenje opasne emisije od 80 % (vidi </w:t>
      </w:r>
      <w:r w:rsidR="001C48EA" w:rsidRPr="001A7E0A">
        <w:rPr>
          <w:rFonts w:ascii="Cambria" w:hAnsi="Cambria"/>
          <w:b/>
          <w:bCs/>
          <w:sz w:val="24"/>
        </w:rPr>
        <w:t>T</w:t>
      </w:r>
      <w:r>
        <w:rPr>
          <w:rFonts w:ascii="Cambria" w:hAnsi="Cambria"/>
          <w:b/>
          <w:bCs/>
          <w:sz w:val="24"/>
        </w:rPr>
        <w:t>ablicu 2</w:t>
      </w:r>
      <w:r>
        <w:rPr>
          <w:rFonts w:ascii="Cambria" w:hAnsi="Cambria"/>
          <w:sz w:val="24"/>
        </w:rPr>
        <w:t xml:space="preserve">.). </w:t>
      </w:r>
    </w:p>
    <w:p w14:paraId="1DFF97B4" w14:textId="77777777" w:rsidR="00375813" w:rsidRPr="00375813" w:rsidRDefault="008821C8" w:rsidP="00375813">
      <w:pPr>
        <w:tabs>
          <w:tab w:val="left" w:pos="0"/>
        </w:tabs>
        <w:spacing w:before="240" w:after="0" w:line="360" w:lineRule="auto"/>
        <w:rPr>
          <w:rFonts w:ascii="Cambria" w:hAnsi="Cambria" w:cs="Arial"/>
          <w:b/>
          <w:sz w:val="24"/>
        </w:rPr>
      </w:pPr>
      <w:r>
        <w:rPr>
          <w:rFonts w:ascii="Cambria" w:hAnsi="Cambria"/>
          <w:b/>
          <w:sz w:val="24"/>
        </w:rPr>
        <w:t>Tablica 2. Učinkovitost projekta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4364"/>
        <w:gridCol w:w="1372"/>
        <w:gridCol w:w="1338"/>
        <w:gridCol w:w="1317"/>
        <w:gridCol w:w="1231"/>
      </w:tblGrid>
      <w:tr w:rsidR="007A71AF" w:rsidRPr="007A71AF" w14:paraId="363D36BB" w14:textId="77777777" w:rsidTr="007A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6B9A72" w14:textId="77777777" w:rsidR="007A71AF" w:rsidRPr="007A71AF" w:rsidRDefault="007A71AF" w:rsidP="007A71AF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Parametar</w:t>
            </w:r>
          </w:p>
        </w:tc>
        <w:tc>
          <w:tcPr>
            <w:tcW w:w="0" w:type="auto"/>
            <w:hideMark/>
          </w:tcPr>
          <w:p w14:paraId="4811013F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Javna knjižnica</w:t>
            </w:r>
          </w:p>
        </w:tc>
        <w:tc>
          <w:tcPr>
            <w:tcW w:w="0" w:type="auto"/>
            <w:hideMark/>
          </w:tcPr>
          <w:p w14:paraId="4F69B536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Općinski ured</w:t>
            </w:r>
          </w:p>
        </w:tc>
        <w:tc>
          <w:tcPr>
            <w:tcW w:w="0" w:type="auto"/>
            <w:hideMark/>
          </w:tcPr>
          <w:p w14:paraId="2559C4F7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Osnovna škola</w:t>
            </w:r>
          </w:p>
        </w:tc>
        <w:tc>
          <w:tcPr>
            <w:tcW w:w="0" w:type="auto"/>
            <w:hideMark/>
          </w:tcPr>
          <w:p w14:paraId="7FE6043B" w14:textId="77777777" w:rsidR="007A71AF" w:rsidRPr="007A71AF" w:rsidRDefault="007A71AF" w:rsidP="007A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Ukupno</w:t>
            </w:r>
          </w:p>
        </w:tc>
      </w:tr>
      <w:tr w:rsidR="007A71AF" w:rsidRPr="007A71AF" w14:paraId="51557012" w14:textId="77777777" w:rsidTr="007A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56981F7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Indeks godišnje potražnje za neobnovljivom primarnom energijom [kWh / godišnje]</w:t>
            </w:r>
          </w:p>
        </w:tc>
        <w:tc>
          <w:tcPr>
            <w:tcW w:w="0" w:type="auto"/>
            <w:vAlign w:val="center"/>
            <w:hideMark/>
          </w:tcPr>
          <w:p w14:paraId="1BABDF5D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59,15</w:t>
            </w:r>
          </w:p>
        </w:tc>
        <w:tc>
          <w:tcPr>
            <w:tcW w:w="0" w:type="auto"/>
            <w:vAlign w:val="center"/>
            <w:hideMark/>
          </w:tcPr>
          <w:p w14:paraId="2BA4A537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23,17</w:t>
            </w:r>
          </w:p>
        </w:tc>
        <w:tc>
          <w:tcPr>
            <w:tcW w:w="0" w:type="auto"/>
            <w:vAlign w:val="center"/>
            <w:hideMark/>
          </w:tcPr>
          <w:p w14:paraId="6662EBD2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25,25</w:t>
            </w:r>
          </w:p>
        </w:tc>
        <w:tc>
          <w:tcPr>
            <w:tcW w:w="0" w:type="auto"/>
            <w:vAlign w:val="center"/>
            <w:hideMark/>
          </w:tcPr>
          <w:p w14:paraId="7BFDC402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7A71AF" w:rsidRPr="007A71AF" w14:paraId="1D23A28D" w14:textId="77777777" w:rsidTr="007A71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5B93961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Smanjenje CO2 [%]</w:t>
            </w:r>
          </w:p>
        </w:tc>
        <w:tc>
          <w:tcPr>
            <w:tcW w:w="0" w:type="auto"/>
            <w:vAlign w:val="center"/>
            <w:hideMark/>
          </w:tcPr>
          <w:p w14:paraId="3DDB2C15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63,61 %</w:t>
            </w:r>
          </w:p>
        </w:tc>
        <w:tc>
          <w:tcPr>
            <w:tcW w:w="0" w:type="auto"/>
            <w:vAlign w:val="center"/>
            <w:hideMark/>
          </w:tcPr>
          <w:p w14:paraId="1C370669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87,98 %</w:t>
            </w:r>
          </w:p>
        </w:tc>
        <w:tc>
          <w:tcPr>
            <w:tcW w:w="0" w:type="auto"/>
            <w:vAlign w:val="center"/>
            <w:hideMark/>
          </w:tcPr>
          <w:p w14:paraId="05FDA963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88,95 %</w:t>
            </w:r>
          </w:p>
        </w:tc>
        <w:tc>
          <w:tcPr>
            <w:tcW w:w="0" w:type="auto"/>
            <w:vAlign w:val="center"/>
            <w:hideMark/>
          </w:tcPr>
          <w:p w14:paraId="6F57FA20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80,18 %</w:t>
            </w:r>
          </w:p>
        </w:tc>
      </w:tr>
      <w:tr w:rsidR="007A71AF" w:rsidRPr="007A71AF" w14:paraId="4533E1B7" w14:textId="77777777" w:rsidTr="007A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B1FB7B0" w14:textId="77777777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Poboljšanje energetske učinkovitosti [%]</w:t>
            </w:r>
          </w:p>
        </w:tc>
        <w:tc>
          <w:tcPr>
            <w:tcW w:w="0" w:type="auto"/>
            <w:vAlign w:val="center"/>
            <w:hideMark/>
          </w:tcPr>
          <w:p w14:paraId="0AD6CB2F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65,67 %</w:t>
            </w:r>
          </w:p>
        </w:tc>
        <w:tc>
          <w:tcPr>
            <w:tcW w:w="0" w:type="auto"/>
            <w:vAlign w:val="center"/>
            <w:hideMark/>
          </w:tcPr>
          <w:p w14:paraId="6D3D8172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87,49 %</w:t>
            </w:r>
          </w:p>
        </w:tc>
        <w:tc>
          <w:tcPr>
            <w:tcW w:w="0" w:type="auto"/>
            <w:vAlign w:val="center"/>
            <w:hideMark/>
          </w:tcPr>
          <w:p w14:paraId="6B9BD52B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87,05 %</w:t>
            </w:r>
          </w:p>
        </w:tc>
        <w:tc>
          <w:tcPr>
            <w:tcW w:w="0" w:type="auto"/>
            <w:vAlign w:val="center"/>
            <w:hideMark/>
          </w:tcPr>
          <w:p w14:paraId="544DBC0B" w14:textId="77777777" w:rsidR="007A71AF" w:rsidRPr="007A71AF" w:rsidRDefault="007A71AF" w:rsidP="007A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80,07 %</w:t>
            </w:r>
          </w:p>
        </w:tc>
      </w:tr>
      <w:tr w:rsidR="007A71AF" w:rsidRPr="007A71AF" w14:paraId="46EE9749" w14:textId="77777777" w:rsidTr="007A71A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266FCA6" w14:textId="33935A0D" w:rsidR="007A71AF" w:rsidRPr="007A71AF" w:rsidRDefault="007A71AF" w:rsidP="007A71AF">
            <w:pPr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Godišnja ušteda (troškovi električne energije i grijanja) (u </w:t>
            </w:r>
            <w:r w:rsidR="003C624E">
              <w:rPr>
                <w:rFonts w:ascii="Cambria" w:hAnsi="Cambria"/>
                <w:color w:val="000000"/>
              </w:rPr>
              <w:t>EUR</w:t>
            </w:r>
            <w:r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F75DF8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3.922,77</w:t>
            </w:r>
          </w:p>
        </w:tc>
        <w:tc>
          <w:tcPr>
            <w:tcW w:w="0" w:type="auto"/>
            <w:vAlign w:val="center"/>
            <w:hideMark/>
          </w:tcPr>
          <w:p w14:paraId="73DCE20F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18.118,54</w:t>
            </w:r>
          </w:p>
        </w:tc>
        <w:tc>
          <w:tcPr>
            <w:tcW w:w="0" w:type="auto"/>
            <w:vAlign w:val="center"/>
            <w:hideMark/>
          </w:tcPr>
          <w:p w14:paraId="7BD95A19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3.957,28</w:t>
            </w:r>
          </w:p>
        </w:tc>
        <w:tc>
          <w:tcPr>
            <w:tcW w:w="0" w:type="auto"/>
            <w:vAlign w:val="center"/>
            <w:hideMark/>
          </w:tcPr>
          <w:p w14:paraId="5C626CA3" w14:textId="77777777" w:rsidR="007A71AF" w:rsidRPr="007A71AF" w:rsidRDefault="007A71AF" w:rsidP="007A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25.998,59</w:t>
            </w:r>
          </w:p>
        </w:tc>
      </w:tr>
    </w:tbl>
    <w:p w14:paraId="4A2E9ED7" w14:textId="77777777" w:rsidR="008E1D2F" w:rsidRPr="007A71AF" w:rsidRDefault="008E1D2F" w:rsidP="008E1D2F">
      <w:pPr>
        <w:rPr>
          <w:rFonts w:ascii="Cambria" w:hAnsi="Cambria" w:cs="Arial"/>
        </w:rPr>
      </w:pPr>
    </w:p>
    <w:p w14:paraId="79907758" w14:textId="0E673D93" w:rsidR="00FC095D" w:rsidRPr="00173448" w:rsidRDefault="00FC095D" w:rsidP="00173448">
      <w:pPr>
        <w:pStyle w:val="Heading2"/>
        <w:rPr>
          <w:rFonts w:ascii="Cambria" w:hAnsi="Cambria"/>
          <w:b/>
        </w:rPr>
      </w:pPr>
      <w:r>
        <w:rPr>
          <w:rFonts w:ascii="Cambria" w:hAnsi="Cambria"/>
          <w:b/>
        </w:rPr>
        <w:t>Analiza net</w:t>
      </w:r>
      <w:r w:rsidR="001D5944">
        <w:rPr>
          <w:rFonts w:ascii="Cambria" w:hAnsi="Cambria"/>
          <w:b/>
        </w:rPr>
        <w:t>o</w:t>
      </w:r>
      <w:r>
        <w:rPr>
          <w:rFonts w:ascii="Cambria" w:hAnsi="Cambria"/>
          <w:b/>
        </w:rPr>
        <w:t xml:space="preserve"> sadašnje vrijednosti (N</w:t>
      </w:r>
      <w:r w:rsidR="003C624E">
        <w:rPr>
          <w:rFonts w:ascii="Cambria" w:hAnsi="Cambria"/>
          <w:b/>
        </w:rPr>
        <w:t>S</w:t>
      </w:r>
      <w:r>
        <w:rPr>
          <w:rFonts w:ascii="Cambria" w:hAnsi="Cambria"/>
          <w:b/>
        </w:rPr>
        <w:t>V) i i</w:t>
      </w:r>
      <w:r w:rsidR="00EA5199">
        <w:rPr>
          <w:rFonts w:ascii="Cambria" w:hAnsi="Cambria"/>
          <w:b/>
        </w:rPr>
        <w:t>splativost</w:t>
      </w:r>
      <w:r>
        <w:rPr>
          <w:rFonts w:ascii="Cambria" w:hAnsi="Cambria"/>
          <w:b/>
        </w:rPr>
        <w:t xml:space="preserve"> projekta</w:t>
      </w:r>
    </w:p>
    <w:p w14:paraId="363F519F" w14:textId="56C1AB59" w:rsidR="009126D0" w:rsidRDefault="00FC095D" w:rsidP="009126D0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 xml:space="preserve">U skladu sa smjernicama EPC-a o metodologiji financijske analize projekata </w:t>
      </w:r>
      <w:r w:rsidR="00BF301E"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 xml:space="preserve">pćina je pretpostavila diskontnu stopu od 4,0 %. Usto, financijska analiza izvršena je za razdoblje od 15 godina, ali zbog dužega životnog vijeka imovine uključena je njihova preostala vrijednost (204.595,07 </w:t>
      </w:r>
      <w:r w:rsidR="003C624E">
        <w:rPr>
          <w:rFonts w:ascii="Cambria" w:hAnsi="Cambria"/>
          <w:sz w:val="24"/>
        </w:rPr>
        <w:t>EUR</w:t>
      </w:r>
      <w:r>
        <w:rPr>
          <w:rFonts w:ascii="Cambria" w:hAnsi="Cambria"/>
          <w:sz w:val="24"/>
        </w:rPr>
        <w:t xml:space="preserve">) (jednaka je vrijednosti neamortizirane imovine na kraju 2033. godine) </w:t>
      </w:r>
    </w:p>
    <w:p w14:paraId="362B14E8" w14:textId="590E7262" w:rsidR="000558A2" w:rsidRPr="000558A2" w:rsidRDefault="000558A2" w:rsidP="009126D0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color w:val="FF0000"/>
          <w:sz w:val="24"/>
        </w:rPr>
        <w:t>Vježba: Ima li smisla obnoviti zgrade? Izračunajte neto sadašnju vrijednost (N</w:t>
      </w:r>
      <w:r w:rsidR="000E4B5C">
        <w:rPr>
          <w:rFonts w:ascii="Cambria" w:hAnsi="Cambria"/>
          <w:b/>
          <w:color w:val="FF0000"/>
          <w:sz w:val="24"/>
        </w:rPr>
        <w:t>S</w:t>
      </w:r>
      <w:r>
        <w:rPr>
          <w:rFonts w:ascii="Cambria" w:hAnsi="Cambria"/>
          <w:b/>
          <w:color w:val="FF0000"/>
          <w:sz w:val="24"/>
        </w:rPr>
        <w:t xml:space="preserve">V) i internu stopu </w:t>
      </w:r>
      <w:r w:rsidR="00D255A5">
        <w:rPr>
          <w:rFonts w:ascii="Cambria" w:hAnsi="Cambria"/>
          <w:b/>
          <w:color w:val="FF0000"/>
          <w:sz w:val="24"/>
        </w:rPr>
        <w:t>rentabilnosti</w:t>
      </w:r>
      <w:r>
        <w:rPr>
          <w:rFonts w:ascii="Cambria" w:hAnsi="Cambria"/>
          <w:b/>
          <w:color w:val="FF0000"/>
          <w:sz w:val="24"/>
        </w:rPr>
        <w:t xml:space="preserve"> (IRR)  projekta pretpostavljajući da općina može odmah platiti projekt gotovinom</w:t>
      </w:r>
    </w:p>
    <w:p w14:paraId="2DCDE173" w14:textId="6EB722BD" w:rsidR="002F6A0E" w:rsidRPr="00173448" w:rsidRDefault="008E4986" w:rsidP="00173448">
      <w:pPr>
        <w:pStyle w:val="Heading2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Dostupnost </w:t>
      </w:r>
      <w:r w:rsidR="000326B7">
        <w:rPr>
          <w:rFonts w:ascii="Cambria" w:hAnsi="Cambria"/>
          <w:b/>
        </w:rPr>
        <w:t xml:space="preserve">EU </w:t>
      </w:r>
      <w:r>
        <w:rPr>
          <w:rFonts w:ascii="Cambria" w:hAnsi="Cambria"/>
          <w:b/>
        </w:rPr>
        <w:t xml:space="preserve">subvencija </w:t>
      </w:r>
    </w:p>
    <w:p w14:paraId="4E4EB219" w14:textId="3A64AD9E" w:rsidR="008B0C3B" w:rsidRDefault="00920D97" w:rsidP="00173448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P</w:t>
      </w:r>
      <w:r w:rsidR="003D346D">
        <w:rPr>
          <w:rFonts w:ascii="Cambria" w:hAnsi="Cambria"/>
          <w:sz w:val="24"/>
        </w:rPr>
        <w:t xml:space="preserve">rojekt se može prijaviti </w:t>
      </w:r>
      <w:r>
        <w:rPr>
          <w:rFonts w:ascii="Cambria" w:hAnsi="Cambria"/>
          <w:sz w:val="24"/>
        </w:rPr>
        <w:t xml:space="preserve">i </w:t>
      </w:r>
      <w:r w:rsidR="003D346D">
        <w:rPr>
          <w:rFonts w:ascii="Cambria" w:hAnsi="Cambria"/>
          <w:sz w:val="24"/>
        </w:rPr>
        <w:t xml:space="preserve">za subvenciju </w:t>
      </w:r>
      <w:r w:rsidR="00B33DF5">
        <w:rPr>
          <w:rFonts w:ascii="Cambria" w:hAnsi="Cambria"/>
          <w:sz w:val="24"/>
        </w:rPr>
        <w:t>EU</w:t>
      </w:r>
      <w:r w:rsidR="00B33DF5">
        <w:rPr>
          <w:rFonts w:ascii="Cambria" w:hAnsi="Cambria"/>
          <w:sz w:val="24"/>
        </w:rPr>
        <w:t xml:space="preserve"> </w:t>
      </w:r>
      <w:r w:rsidR="00406A3E">
        <w:rPr>
          <w:rFonts w:ascii="Cambria" w:hAnsi="Cambria"/>
          <w:sz w:val="24"/>
        </w:rPr>
        <w:t xml:space="preserve">putem </w:t>
      </w:r>
      <w:r w:rsidR="003D346D">
        <w:rPr>
          <w:rFonts w:ascii="Cambria" w:hAnsi="Cambria"/>
          <w:sz w:val="24"/>
        </w:rPr>
        <w:t xml:space="preserve">Europskog fonda za regionalni razvoj, koja će u slučaju odobrenja biti poslana općini nakon završetka projekta. </w:t>
      </w:r>
      <w:r w:rsidR="00E20228">
        <w:rPr>
          <w:rFonts w:ascii="Cambria" w:hAnsi="Cambria"/>
          <w:sz w:val="24"/>
        </w:rPr>
        <w:t>B</w:t>
      </w:r>
      <w:r w:rsidR="003D346D">
        <w:rPr>
          <w:rFonts w:ascii="Cambria" w:hAnsi="Cambria"/>
          <w:sz w:val="24"/>
        </w:rPr>
        <w:t xml:space="preserve">udući da projekt </w:t>
      </w:r>
      <w:r w:rsidR="00E20228">
        <w:rPr>
          <w:rFonts w:ascii="Cambria" w:hAnsi="Cambria"/>
          <w:sz w:val="24"/>
        </w:rPr>
        <w:t>ne</w:t>
      </w:r>
      <w:r w:rsidR="003D346D">
        <w:rPr>
          <w:rFonts w:ascii="Cambria" w:hAnsi="Cambria"/>
          <w:sz w:val="24"/>
        </w:rPr>
        <w:t xml:space="preserve"> stvara prihode, također je bilo moguće zatražiti sufinanciranje iz sredstava ESRR-a za prihvatljive troškove. U slučaju navedenog projekta prihvatljivi troškovi iznosili su 80 % ukupnih troškova projekta. Preostalih 20 % trebalo je financirati iz vlastitih sredstava </w:t>
      </w:r>
      <w:r w:rsidR="00A14D55">
        <w:rPr>
          <w:rFonts w:ascii="Cambria" w:hAnsi="Cambria"/>
          <w:sz w:val="24"/>
        </w:rPr>
        <w:t>O</w:t>
      </w:r>
      <w:r w:rsidR="003D346D">
        <w:rPr>
          <w:rFonts w:ascii="Cambria" w:hAnsi="Cambria"/>
          <w:sz w:val="24"/>
        </w:rPr>
        <w:t xml:space="preserve">pćine. </w:t>
      </w:r>
      <w:r w:rsidR="00E20228">
        <w:rPr>
          <w:rFonts w:ascii="Cambria" w:hAnsi="Cambria"/>
          <w:sz w:val="24"/>
        </w:rPr>
        <w:t>Time se omogućilo</w:t>
      </w:r>
      <w:r w:rsidR="003D346D">
        <w:rPr>
          <w:rFonts w:ascii="Cambria" w:hAnsi="Cambria"/>
          <w:sz w:val="24"/>
        </w:rPr>
        <w:t xml:space="preserve"> </w:t>
      </w:r>
      <w:r w:rsidR="00A14D55">
        <w:rPr>
          <w:rFonts w:ascii="Cambria" w:hAnsi="Cambria"/>
          <w:sz w:val="24"/>
        </w:rPr>
        <w:t>O</w:t>
      </w:r>
      <w:r w:rsidR="003D346D">
        <w:rPr>
          <w:rFonts w:ascii="Cambria" w:hAnsi="Cambria"/>
          <w:sz w:val="24"/>
        </w:rPr>
        <w:t xml:space="preserve">pćini da </w:t>
      </w:r>
      <w:r w:rsidR="00E20228">
        <w:rPr>
          <w:rFonts w:ascii="Cambria" w:hAnsi="Cambria"/>
          <w:sz w:val="24"/>
        </w:rPr>
        <w:t xml:space="preserve">financira </w:t>
      </w:r>
      <w:r w:rsidR="003D346D">
        <w:rPr>
          <w:rFonts w:ascii="Cambria" w:hAnsi="Cambria"/>
          <w:sz w:val="24"/>
        </w:rPr>
        <w:t>projekt bez gubitaka</w:t>
      </w:r>
      <w:r w:rsidR="00E20228">
        <w:rPr>
          <w:rFonts w:ascii="Cambria" w:hAnsi="Cambria"/>
          <w:sz w:val="24"/>
        </w:rPr>
        <w:t>.</w:t>
      </w:r>
      <w:r w:rsidR="003D346D">
        <w:rPr>
          <w:rFonts w:ascii="Cambria" w:hAnsi="Cambria"/>
          <w:sz w:val="24"/>
        </w:rPr>
        <w:t xml:space="preserve"> </w:t>
      </w:r>
    </w:p>
    <w:p w14:paraId="3C134133" w14:textId="68F57A88" w:rsidR="000558A2" w:rsidRPr="000558A2" w:rsidRDefault="000558A2" w:rsidP="000558A2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color w:val="FF0000"/>
          <w:sz w:val="24"/>
        </w:rPr>
        <w:t>Vježba: Izračunajte neto sadašnju vrijednost (N</w:t>
      </w:r>
      <w:r w:rsidR="00A72E92">
        <w:rPr>
          <w:rFonts w:ascii="Cambria" w:hAnsi="Cambria"/>
          <w:b/>
          <w:color w:val="FF0000"/>
          <w:sz w:val="24"/>
        </w:rPr>
        <w:t>S</w:t>
      </w:r>
      <w:r>
        <w:rPr>
          <w:rFonts w:ascii="Cambria" w:hAnsi="Cambria"/>
          <w:b/>
          <w:color w:val="FF0000"/>
          <w:sz w:val="24"/>
        </w:rPr>
        <w:t xml:space="preserve">V) i internu stopu </w:t>
      </w:r>
      <w:r w:rsidR="00D6397A">
        <w:rPr>
          <w:rFonts w:ascii="Cambria" w:hAnsi="Cambria"/>
          <w:b/>
          <w:color w:val="FF0000"/>
          <w:sz w:val="24"/>
        </w:rPr>
        <w:t>rentabilnosti</w:t>
      </w:r>
      <w:r>
        <w:rPr>
          <w:rFonts w:ascii="Cambria" w:hAnsi="Cambria"/>
          <w:b/>
          <w:color w:val="FF0000"/>
          <w:sz w:val="24"/>
        </w:rPr>
        <w:t xml:space="preserve"> (IRR) projekta pretpostavljajući da ć</w:t>
      </w:r>
      <w:r w:rsidR="00E20228">
        <w:rPr>
          <w:rFonts w:ascii="Cambria" w:hAnsi="Cambria"/>
          <w:b/>
          <w:color w:val="FF0000"/>
          <w:sz w:val="24"/>
        </w:rPr>
        <w:t xml:space="preserve">e </w:t>
      </w:r>
      <w:r w:rsidR="005A2AEE">
        <w:rPr>
          <w:rFonts w:ascii="Cambria" w:hAnsi="Cambria"/>
          <w:b/>
          <w:color w:val="FF0000"/>
          <w:sz w:val="24"/>
        </w:rPr>
        <w:t>O</w:t>
      </w:r>
      <w:r w:rsidR="00E20228">
        <w:rPr>
          <w:rFonts w:ascii="Cambria" w:hAnsi="Cambria"/>
          <w:b/>
          <w:color w:val="FF0000"/>
          <w:sz w:val="24"/>
        </w:rPr>
        <w:t xml:space="preserve">pćina dobiti 80 % subvencije </w:t>
      </w:r>
      <w:r>
        <w:rPr>
          <w:rFonts w:ascii="Cambria" w:hAnsi="Cambria"/>
          <w:b/>
          <w:color w:val="FF0000"/>
          <w:sz w:val="24"/>
        </w:rPr>
        <w:t>iz EU-a</w:t>
      </w:r>
    </w:p>
    <w:p w14:paraId="49B90C61" w14:textId="77777777" w:rsidR="00173448" w:rsidRPr="00173448" w:rsidRDefault="001C45C9" w:rsidP="00173448">
      <w:pPr>
        <w:pStyle w:val="Heading2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EPC</w:t>
      </w:r>
    </w:p>
    <w:p w14:paraId="5B1CD0AF" w14:textId="12D2AC5C" w:rsidR="00800ED4" w:rsidRDefault="00491861" w:rsidP="00800ED4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T</w:t>
      </w:r>
      <w:r w:rsidR="00D455D6">
        <w:rPr>
          <w:rFonts w:ascii="Cambria" w:hAnsi="Cambria"/>
          <w:sz w:val="24"/>
        </w:rPr>
        <w:t>roškovi su</w:t>
      </w:r>
      <w:r>
        <w:rPr>
          <w:rFonts w:ascii="Cambria" w:hAnsi="Cambria"/>
          <w:sz w:val="24"/>
        </w:rPr>
        <w:t>, međutim,</w:t>
      </w:r>
      <w:r w:rsidR="00D455D6">
        <w:rPr>
          <w:rFonts w:ascii="Cambria" w:hAnsi="Cambria"/>
          <w:sz w:val="24"/>
        </w:rPr>
        <w:t xml:space="preserve"> i dalje previsoki da bi ih </w:t>
      </w:r>
      <w:r w:rsidR="005A2AEE">
        <w:rPr>
          <w:rFonts w:ascii="Cambria" w:hAnsi="Cambria"/>
          <w:sz w:val="24"/>
        </w:rPr>
        <w:t>O</w:t>
      </w:r>
      <w:r w:rsidR="00D455D6">
        <w:rPr>
          <w:rFonts w:ascii="Cambria" w:hAnsi="Cambria"/>
          <w:sz w:val="24"/>
        </w:rPr>
        <w:t>pćina mogla platiti. Stoga su pronašli druge mogućnosti, što im je omogućilo pokretanje projekta i zadržavanje subvencije iz ESRR-a.</w:t>
      </w:r>
    </w:p>
    <w:p w14:paraId="7B7EB58B" w14:textId="26E711BF" w:rsidR="00173448" w:rsidRDefault="00800ED4" w:rsidP="000558A2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 xml:space="preserve">Kako bi riješila problem </w:t>
      </w:r>
      <w:r w:rsidR="005A2AEE"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 xml:space="preserve">pćina je potpisala </w:t>
      </w:r>
      <w:r w:rsidR="005A2AEE">
        <w:rPr>
          <w:rFonts w:ascii="Cambria" w:hAnsi="Cambria"/>
          <w:sz w:val="24"/>
        </w:rPr>
        <w:t>U</w:t>
      </w:r>
      <w:r>
        <w:rPr>
          <w:rFonts w:ascii="Cambria" w:hAnsi="Cambria"/>
          <w:sz w:val="24"/>
        </w:rPr>
        <w:t xml:space="preserve">govor o energetskom učinku sa specijaliziranom tvrtkom. Prema dogovoru izvođač je izvodio građevinske radove i osigurao financiranje projekta. Zauzvrat izvođač je trebao dobiti 90 % uštede koju je projekt ostvario na trošku električne energije i topline. Osim toga, izvođač je trebao primiti isplatu u vrijednosti subvencije nakon što </w:t>
      </w:r>
      <w:r w:rsidR="005A2AEE"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 xml:space="preserve">pćina primi sredstva. Dakle, </w:t>
      </w:r>
      <w:r w:rsidR="005A2AEE"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>pćina i specijalizirana tvrtka imaju vlastitu vrijednost za projekt.</w:t>
      </w:r>
    </w:p>
    <w:p w14:paraId="47078BE2" w14:textId="4585A3A6" w:rsidR="000558A2" w:rsidRDefault="000558A2" w:rsidP="00885457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color w:val="FF0000"/>
          <w:sz w:val="24"/>
        </w:rPr>
        <w:t>Vježba: Izračunajte neto sadašnju vrijednost (N</w:t>
      </w:r>
      <w:r w:rsidR="003725E3">
        <w:rPr>
          <w:rFonts w:ascii="Cambria" w:hAnsi="Cambria"/>
          <w:b/>
          <w:color w:val="FF0000"/>
          <w:sz w:val="24"/>
        </w:rPr>
        <w:t>S</w:t>
      </w:r>
      <w:r>
        <w:rPr>
          <w:rFonts w:ascii="Cambria" w:hAnsi="Cambria"/>
          <w:b/>
          <w:color w:val="FF0000"/>
          <w:sz w:val="24"/>
        </w:rPr>
        <w:t xml:space="preserve">V) i internu stopu </w:t>
      </w:r>
      <w:r w:rsidR="004168A2">
        <w:rPr>
          <w:rFonts w:ascii="Cambria" w:hAnsi="Cambria"/>
          <w:b/>
          <w:color w:val="FF0000"/>
          <w:sz w:val="24"/>
        </w:rPr>
        <w:t>rentabilnosti</w:t>
      </w:r>
      <w:r>
        <w:rPr>
          <w:rFonts w:ascii="Cambria" w:hAnsi="Cambria"/>
          <w:b/>
          <w:color w:val="FF0000"/>
          <w:sz w:val="24"/>
        </w:rPr>
        <w:t xml:space="preserve"> (IRR) projekta za </w:t>
      </w:r>
      <w:r w:rsidR="003725E3">
        <w:rPr>
          <w:rFonts w:ascii="Cambria" w:hAnsi="Cambria"/>
          <w:b/>
          <w:color w:val="FF0000"/>
          <w:sz w:val="24"/>
        </w:rPr>
        <w:t>O</w:t>
      </w:r>
      <w:r>
        <w:rPr>
          <w:rFonts w:ascii="Cambria" w:hAnsi="Cambria"/>
          <w:b/>
          <w:color w:val="FF0000"/>
          <w:sz w:val="24"/>
        </w:rPr>
        <w:t xml:space="preserve">pćinu i </w:t>
      </w:r>
      <w:r w:rsidR="00C93F20">
        <w:rPr>
          <w:rFonts w:ascii="Cambria" w:hAnsi="Cambria"/>
          <w:b/>
          <w:color w:val="FF0000"/>
          <w:sz w:val="24"/>
        </w:rPr>
        <w:t>ESCO</w:t>
      </w:r>
      <w:r>
        <w:rPr>
          <w:rFonts w:ascii="Cambria" w:hAnsi="Cambria"/>
          <w:b/>
          <w:color w:val="FF0000"/>
          <w:sz w:val="24"/>
        </w:rPr>
        <w:t>. Je li moguće izračunat</w:t>
      </w:r>
      <w:r w:rsidR="00E20228">
        <w:rPr>
          <w:rFonts w:ascii="Cambria" w:hAnsi="Cambria"/>
          <w:b/>
          <w:color w:val="FF0000"/>
          <w:sz w:val="24"/>
        </w:rPr>
        <w:t xml:space="preserve">i neto sadašnje vrijednosti </w:t>
      </w:r>
      <w:r>
        <w:rPr>
          <w:rFonts w:ascii="Cambria" w:hAnsi="Cambria"/>
          <w:b/>
          <w:color w:val="FF0000"/>
          <w:sz w:val="24"/>
        </w:rPr>
        <w:t>(N</w:t>
      </w:r>
      <w:r w:rsidR="003725E3">
        <w:rPr>
          <w:rFonts w:ascii="Cambria" w:hAnsi="Cambria"/>
          <w:b/>
          <w:color w:val="FF0000"/>
          <w:sz w:val="24"/>
        </w:rPr>
        <w:t>S</w:t>
      </w:r>
      <w:r>
        <w:rPr>
          <w:rFonts w:ascii="Cambria" w:hAnsi="Cambria"/>
          <w:b/>
          <w:color w:val="FF0000"/>
          <w:sz w:val="24"/>
        </w:rPr>
        <w:t xml:space="preserve">V) i interne stope </w:t>
      </w:r>
      <w:r w:rsidR="004168A2">
        <w:rPr>
          <w:rFonts w:ascii="Cambria" w:hAnsi="Cambria"/>
          <w:b/>
          <w:color w:val="FF0000"/>
          <w:sz w:val="24"/>
        </w:rPr>
        <w:t>rentabilnosti</w:t>
      </w:r>
      <w:r>
        <w:rPr>
          <w:rFonts w:ascii="Cambria" w:hAnsi="Cambria"/>
          <w:b/>
          <w:color w:val="FF0000"/>
          <w:sz w:val="24"/>
        </w:rPr>
        <w:t xml:space="preserve"> (IRR) za oba slučaja?</w:t>
      </w:r>
    </w:p>
    <w:p w14:paraId="078E36A5" w14:textId="77777777" w:rsidR="00542129" w:rsidRPr="00542129" w:rsidRDefault="00542129" w:rsidP="00885457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  <w:u w:val="single"/>
        </w:rPr>
      </w:pPr>
      <w:r>
        <w:rPr>
          <w:rFonts w:ascii="Cambria" w:hAnsi="Cambria"/>
          <w:b/>
          <w:color w:val="FF0000"/>
          <w:sz w:val="24"/>
          <w:u w:val="single"/>
        </w:rPr>
        <w:t>Pitanja za raspravu:</w:t>
      </w:r>
    </w:p>
    <w:p w14:paraId="75D30DBD" w14:textId="77777777" w:rsidR="003B4949" w:rsidRPr="00542129" w:rsidRDefault="004D24A7" w:rsidP="00542129">
      <w:pPr>
        <w:numPr>
          <w:ilvl w:val="0"/>
          <w:numId w:val="4"/>
        </w:num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bCs/>
          <w:color w:val="FF0000"/>
          <w:sz w:val="24"/>
        </w:rPr>
        <w:t>Što općina dobiva tim poslom? Je li to dobar posao?</w:t>
      </w:r>
    </w:p>
    <w:p w14:paraId="3CC2F589" w14:textId="6E9B3F1E" w:rsidR="003B4949" w:rsidRPr="00542129" w:rsidRDefault="004D24A7" w:rsidP="00542129">
      <w:pPr>
        <w:numPr>
          <w:ilvl w:val="0"/>
          <w:numId w:val="4"/>
        </w:num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bCs/>
          <w:color w:val="FF0000"/>
          <w:sz w:val="24"/>
        </w:rPr>
        <w:t>Bi li se taj projekt mogao izvesti bez subvencije? Koje su uloge subvencija u energetskoj učinkovitosti? Treba li subvencionirati projekte s negativnim neto sadašnjim vrijednostima (N</w:t>
      </w:r>
      <w:r w:rsidR="003725E3">
        <w:rPr>
          <w:rFonts w:ascii="Cambria" w:hAnsi="Cambria"/>
          <w:b/>
          <w:bCs/>
          <w:color w:val="FF0000"/>
          <w:sz w:val="24"/>
        </w:rPr>
        <w:t>S</w:t>
      </w:r>
      <w:r>
        <w:rPr>
          <w:rFonts w:ascii="Cambria" w:hAnsi="Cambria"/>
          <w:b/>
          <w:bCs/>
          <w:color w:val="FF0000"/>
          <w:sz w:val="24"/>
        </w:rPr>
        <w:t xml:space="preserve">V)? </w:t>
      </w:r>
    </w:p>
    <w:p w14:paraId="1E525593" w14:textId="77777777" w:rsidR="003B4949" w:rsidRPr="00542129" w:rsidRDefault="004D24A7" w:rsidP="00542129">
      <w:pPr>
        <w:numPr>
          <w:ilvl w:val="0"/>
          <w:numId w:val="4"/>
        </w:num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bCs/>
          <w:color w:val="FF0000"/>
          <w:sz w:val="24"/>
        </w:rPr>
        <w:t xml:space="preserve">Što izvođač dobiva tim poslom? </w:t>
      </w:r>
    </w:p>
    <w:p w14:paraId="57A9A2D8" w14:textId="4D0E42C9" w:rsidR="003B4949" w:rsidRPr="00542129" w:rsidRDefault="004D24A7" w:rsidP="00542129">
      <w:pPr>
        <w:numPr>
          <w:ilvl w:val="0"/>
          <w:numId w:val="4"/>
        </w:num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  <w:r>
        <w:rPr>
          <w:rFonts w:ascii="Cambria" w:hAnsi="Cambria"/>
          <w:b/>
          <w:bCs/>
          <w:color w:val="FF0000"/>
          <w:sz w:val="24"/>
        </w:rPr>
        <w:t xml:space="preserve">Nalikuje li ovaj posao zajamčenoj ili zajedničkoj uštedi? Zašto? </w:t>
      </w:r>
    </w:p>
    <w:p w14:paraId="21D92C63" w14:textId="77777777" w:rsidR="00542129" w:rsidRPr="000558A2" w:rsidRDefault="00542129" w:rsidP="00885457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color w:val="FF0000"/>
          <w:sz w:val="24"/>
        </w:rPr>
      </w:pPr>
    </w:p>
    <w:p w14:paraId="2388855E" w14:textId="77777777" w:rsidR="000558A2" w:rsidRDefault="000558A2" w:rsidP="000558A2">
      <w:pPr>
        <w:tabs>
          <w:tab w:val="left" w:pos="0"/>
        </w:tabs>
        <w:spacing w:before="240" w:line="360" w:lineRule="auto"/>
        <w:jc w:val="both"/>
        <w:rPr>
          <w:rFonts w:ascii="Cambria" w:hAnsi="Cambria" w:cs="Arial"/>
          <w:b/>
          <w:sz w:val="24"/>
        </w:rPr>
      </w:pPr>
    </w:p>
    <w:sectPr w:rsidR="000558A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51F"/>
    <w:multiLevelType w:val="hybridMultilevel"/>
    <w:tmpl w:val="1922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28D0"/>
    <w:multiLevelType w:val="hybridMultilevel"/>
    <w:tmpl w:val="FC2E157A"/>
    <w:lvl w:ilvl="0" w:tplc="4F781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2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E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6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5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0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0C481A"/>
    <w:multiLevelType w:val="hybridMultilevel"/>
    <w:tmpl w:val="7FFA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4C19"/>
    <w:multiLevelType w:val="hybridMultilevel"/>
    <w:tmpl w:val="4BB0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949"/>
    <w:rsid w:val="000326B7"/>
    <w:rsid w:val="000558A2"/>
    <w:rsid w:val="000C15FF"/>
    <w:rsid w:val="000E4B5C"/>
    <w:rsid w:val="00173448"/>
    <w:rsid w:val="001A7E0A"/>
    <w:rsid w:val="001C45C9"/>
    <w:rsid w:val="001C48EA"/>
    <w:rsid w:val="001D5944"/>
    <w:rsid w:val="00290FA1"/>
    <w:rsid w:val="00292F95"/>
    <w:rsid w:val="00296B5F"/>
    <w:rsid w:val="002F6A0E"/>
    <w:rsid w:val="00365872"/>
    <w:rsid w:val="003725E3"/>
    <w:rsid w:val="00375813"/>
    <w:rsid w:val="003B4949"/>
    <w:rsid w:val="003C624E"/>
    <w:rsid w:val="003D346D"/>
    <w:rsid w:val="00406A3E"/>
    <w:rsid w:val="004168A2"/>
    <w:rsid w:val="00460432"/>
    <w:rsid w:val="00491861"/>
    <w:rsid w:val="004D24A7"/>
    <w:rsid w:val="00542129"/>
    <w:rsid w:val="00553E58"/>
    <w:rsid w:val="00590112"/>
    <w:rsid w:val="005A2AEE"/>
    <w:rsid w:val="005D726D"/>
    <w:rsid w:val="00670963"/>
    <w:rsid w:val="006C1FBE"/>
    <w:rsid w:val="00790B3A"/>
    <w:rsid w:val="0079234E"/>
    <w:rsid w:val="007A231F"/>
    <w:rsid w:val="007A71AF"/>
    <w:rsid w:val="00800ED4"/>
    <w:rsid w:val="00836DE3"/>
    <w:rsid w:val="00850457"/>
    <w:rsid w:val="00857ABD"/>
    <w:rsid w:val="008821C8"/>
    <w:rsid w:val="00885457"/>
    <w:rsid w:val="008B0C3B"/>
    <w:rsid w:val="008E1D2F"/>
    <w:rsid w:val="008E4986"/>
    <w:rsid w:val="008F7609"/>
    <w:rsid w:val="009126D0"/>
    <w:rsid w:val="00920D97"/>
    <w:rsid w:val="00976E56"/>
    <w:rsid w:val="009B0949"/>
    <w:rsid w:val="009C39BC"/>
    <w:rsid w:val="00A14D55"/>
    <w:rsid w:val="00A363DE"/>
    <w:rsid w:val="00A72E92"/>
    <w:rsid w:val="00A944EC"/>
    <w:rsid w:val="00AF0CBE"/>
    <w:rsid w:val="00B33DF5"/>
    <w:rsid w:val="00B773AB"/>
    <w:rsid w:val="00BF301E"/>
    <w:rsid w:val="00C93F20"/>
    <w:rsid w:val="00CD03B0"/>
    <w:rsid w:val="00D255A5"/>
    <w:rsid w:val="00D455D6"/>
    <w:rsid w:val="00D6397A"/>
    <w:rsid w:val="00D7048F"/>
    <w:rsid w:val="00DA6E05"/>
    <w:rsid w:val="00E20228"/>
    <w:rsid w:val="00E73614"/>
    <w:rsid w:val="00EA5199"/>
    <w:rsid w:val="00EE613B"/>
    <w:rsid w:val="00F974D2"/>
    <w:rsid w:val="00FC095D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55B4"/>
  <w15:docId w15:val="{58BC9F48-B8C1-4FD6-9149-E15DF66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0949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3758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73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B2A1721BB1943B4237666C588A079" ma:contentTypeVersion="12" ma:contentTypeDescription="Stvaranje novog dokumenta." ma:contentTypeScope="" ma:versionID="d1c43a9839131e36dbd9b035f6c3c7bc">
  <xsd:schema xmlns:xsd="http://www.w3.org/2001/XMLSchema" xmlns:xs="http://www.w3.org/2001/XMLSchema" xmlns:p="http://schemas.microsoft.com/office/2006/metadata/properties" xmlns:ns2="b931a48e-e151-47dd-8be7-1ffa448d0cd4" xmlns:ns3="014e4976-b17e-402c-9868-0091bfbe48e8" targetNamespace="http://schemas.microsoft.com/office/2006/metadata/properties" ma:root="true" ma:fieldsID="460abf6f3d99a8b7535d85158e2ff824" ns2:_="" ns3:_="">
    <xsd:import namespace="b931a48e-e151-47dd-8be7-1ffa448d0cd4"/>
    <xsd:import namespace="014e4976-b17e-402c-9868-0091bfbe4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a48e-e151-47dd-8be7-1ffa448d0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4976-b17e-402c-9868-0091bfbe4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5CAD6-32AA-4A5D-8BFB-10FCD9D3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a48e-e151-47dd-8be7-1ffa448d0cd4"/>
    <ds:schemaRef ds:uri="014e4976-b17e-402c-9868-0091bfbe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237DC-1B48-40A4-8EAF-027C48FE5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F8881-575E-4E73-9DED-36B22E41C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 Ortiz, Cesar Enrique</dc:creator>
  <cp:keywords/>
  <dc:description/>
  <cp:lastModifiedBy>Tijana Šimek</cp:lastModifiedBy>
  <cp:revision>40</cp:revision>
  <cp:lastPrinted>2019-07-18T13:04:00Z</cp:lastPrinted>
  <dcterms:created xsi:type="dcterms:W3CDTF">2019-08-07T08:42:00Z</dcterms:created>
  <dcterms:modified xsi:type="dcterms:W3CDTF">2020-04-22T18:35:00Z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0x0101004BBB2A1721BB1943B4237666C588A079</vt:lpwstr>
  </property>
</Properties>
</file>